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7F" w:rsidRPr="00E05F39" w:rsidRDefault="004D4630" w:rsidP="004D4630">
      <w:pPr>
        <w:tabs>
          <w:tab w:val="left" w:pos="-709"/>
        </w:tabs>
        <w:rPr>
          <w:b/>
          <w:sz w:val="28"/>
          <w:szCs w:val="28"/>
          <w:u w:val="single"/>
        </w:rPr>
      </w:pPr>
      <w:r w:rsidRPr="00B12AF0">
        <w:rPr>
          <w:noProof/>
          <w:lang w:eastAsia="en-GB"/>
        </w:rPr>
        <w:drawing>
          <wp:inline distT="0" distB="0" distL="0" distR="0" wp14:anchorId="4B8F7161" wp14:editId="58FD7073">
            <wp:extent cx="1555668" cy="612738"/>
            <wp:effectExtent l="0" t="0" r="6985" b="0"/>
            <wp:docPr id="21" name="Picture 21" descr="O:\LOGO - NEW\Salisbury_Primary_School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 - NEW\Salisbury_Primary_School_Logo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70" cy="6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>Salisbury</w:t>
      </w:r>
      <w:r w:rsidR="0067687F" w:rsidRPr="00E05F39">
        <w:rPr>
          <w:b/>
          <w:sz w:val="28"/>
          <w:szCs w:val="28"/>
          <w:u w:val="single"/>
        </w:rPr>
        <w:t xml:space="preserve"> Primary School</w:t>
      </w:r>
    </w:p>
    <w:p w:rsidR="0067687F" w:rsidRPr="00E05F39" w:rsidRDefault="008B10F4" w:rsidP="0067687F">
      <w:pPr>
        <w:tabs>
          <w:tab w:val="left" w:pos="-709"/>
        </w:tabs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Design</w:t>
      </w:r>
      <w:r w:rsidR="000D0299">
        <w:rPr>
          <w:b/>
          <w:sz w:val="28"/>
          <w:szCs w:val="28"/>
          <w:u w:val="single"/>
        </w:rPr>
        <w:t xml:space="preserve"> </w:t>
      </w:r>
      <w:r w:rsidR="004B0770">
        <w:rPr>
          <w:b/>
          <w:sz w:val="28"/>
          <w:szCs w:val="28"/>
          <w:u w:val="single"/>
        </w:rPr>
        <w:t xml:space="preserve">&amp; </w:t>
      </w:r>
      <w:r w:rsidR="000D0299">
        <w:rPr>
          <w:b/>
          <w:sz w:val="28"/>
          <w:szCs w:val="28"/>
          <w:u w:val="single"/>
        </w:rPr>
        <w:t>Technology</w:t>
      </w:r>
      <w:r w:rsidR="004D4630">
        <w:rPr>
          <w:b/>
          <w:sz w:val="28"/>
          <w:szCs w:val="28"/>
          <w:u w:val="single"/>
        </w:rPr>
        <w:t xml:space="preserve"> Curriculum Overview</w:t>
      </w:r>
    </w:p>
    <w:p w:rsidR="004B0770" w:rsidRDefault="004B0770" w:rsidP="004B0770">
      <w:r>
        <w:t>Our Design and T</w:t>
      </w:r>
      <w:r w:rsidR="009F78D4">
        <w:t xml:space="preserve">echnology curriculum encourages our pupils to </w:t>
      </w:r>
      <w:r w:rsidR="00CE6039">
        <w:t xml:space="preserve">enhance knowledge and </w:t>
      </w:r>
      <w:r w:rsidR="009F78D4">
        <w:t>think creatively in order to solve problems and/or make improvements to existing ideas</w:t>
      </w:r>
      <w:r w:rsidR="00D760F7">
        <w:t xml:space="preserve"> and products. It enables them</w:t>
      </w:r>
      <w:r w:rsidR="009F78D4">
        <w:t xml:space="preserve"> to identify </w:t>
      </w:r>
      <w:r>
        <w:t>needs and opportunities, and r</w:t>
      </w:r>
      <w:r w:rsidR="009F78D4">
        <w:t xml:space="preserve">espond </w:t>
      </w:r>
      <w:r>
        <w:t xml:space="preserve">to them </w:t>
      </w:r>
      <w:r w:rsidR="009F78D4">
        <w:t xml:space="preserve">by developing ideas and eventually making </w:t>
      </w:r>
      <w:r w:rsidR="00D760F7">
        <w:t xml:space="preserve">their own </w:t>
      </w:r>
      <w:r w:rsidR="009F78D4">
        <w:t>products and</w:t>
      </w:r>
      <w:r w:rsidR="00D760F7">
        <w:t xml:space="preserve"> systems. Through the study of D</w:t>
      </w:r>
      <w:r w:rsidR="009F78D4">
        <w:t>esign and</w:t>
      </w:r>
      <w:r w:rsidR="00D760F7">
        <w:t xml:space="preserve"> T</w:t>
      </w:r>
      <w:r>
        <w:t xml:space="preserve">echnology our pupils are able to </w:t>
      </w:r>
      <w:r w:rsidR="009F78D4">
        <w:t xml:space="preserve">combine </w:t>
      </w:r>
      <w:r>
        <w:t xml:space="preserve">their </w:t>
      </w:r>
      <w:r w:rsidR="009F78D4">
        <w:t>practical skills with an understanding of aesthetic, s</w:t>
      </w:r>
      <w:r>
        <w:t>ocial and environmental issues</w:t>
      </w:r>
      <w:r w:rsidR="00D760F7">
        <w:t>. Areas of learning covered through our curriculum:</w:t>
      </w:r>
    </w:p>
    <w:p w:rsidR="004B0770" w:rsidRDefault="00D760F7" w:rsidP="00D760F7">
      <w:pPr>
        <w:pStyle w:val="NoSpacing"/>
      </w:pPr>
      <w:r>
        <w:t>1.</w:t>
      </w:r>
      <w:r w:rsidR="004B0770">
        <w:t xml:space="preserve">Food </w:t>
      </w:r>
      <w:r w:rsidR="00A360E9">
        <w:t>T</w:t>
      </w:r>
      <w:r>
        <w:t>echnology</w:t>
      </w:r>
      <w:r>
        <w:tab/>
        <w:t xml:space="preserve">2.Textiles </w:t>
      </w:r>
      <w:r>
        <w:tab/>
        <w:t>3.Materials</w:t>
      </w:r>
      <w:r>
        <w:tab/>
      </w:r>
      <w:r w:rsidR="004D4630">
        <w:t xml:space="preserve">   </w:t>
      </w:r>
      <w:r>
        <w:t xml:space="preserve">4.Construction        </w:t>
      </w:r>
      <w:r w:rsidR="004D4630">
        <w:t xml:space="preserve">     </w:t>
      </w:r>
      <w:r>
        <w:t xml:space="preserve"> 5.Electricals and Electronics</w:t>
      </w:r>
      <w:r>
        <w:tab/>
        <w:t xml:space="preserve">        6.</w:t>
      </w:r>
      <w:r w:rsidR="004B0770">
        <w:t>Mechanics</w:t>
      </w:r>
      <w:bookmarkStart w:id="0" w:name="_GoBack"/>
      <w:bookmarkEnd w:id="0"/>
    </w:p>
    <w:p w:rsidR="00D760F7" w:rsidRPr="004B0770" w:rsidRDefault="00D760F7" w:rsidP="00D760F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4082"/>
        <w:gridCol w:w="4322"/>
        <w:gridCol w:w="4077"/>
      </w:tblGrid>
      <w:tr w:rsidR="0067687F" w:rsidTr="00D760F7">
        <w:tc>
          <w:tcPr>
            <w:tcW w:w="1467" w:type="dxa"/>
            <w:shd w:val="clear" w:color="auto" w:fill="9954CC"/>
          </w:tcPr>
          <w:p w:rsidR="0067687F" w:rsidRPr="00E05F39" w:rsidRDefault="0067687F" w:rsidP="007C57D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9954CC"/>
          </w:tcPr>
          <w:p w:rsidR="0067687F" w:rsidRPr="00E05F39" w:rsidRDefault="0067687F" w:rsidP="007C57D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67687F" w:rsidRPr="00E05F39" w:rsidRDefault="0067687F" w:rsidP="007C57D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AUTUMN</w:t>
            </w:r>
          </w:p>
        </w:tc>
        <w:tc>
          <w:tcPr>
            <w:tcW w:w="4322" w:type="dxa"/>
            <w:shd w:val="clear" w:color="auto" w:fill="9954CC"/>
          </w:tcPr>
          <w:p w:rsidR="0067687F" w:rsidRPr="00E05F39" w:rsidRDefault="0067687F" w:rsidP="007C57D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67687F" w:rsidRPr="00E05F39" w:rsidRDefault="0067687F" w:rsidP="007C57D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SPRING</w:t>
            </w:r>
          </w:p>
        </w:tc>
        <w:tc>
          <w:tcPr>
            <w:tcW w:w="4077" w:type="dxa"/>
            <w:shd w:val="clear" w:color="auto" w:fill="9954CC"/>
          </w:tcPr>
          <w:p w:rsidR="0067687F" w:rsidRPr="00E05F39" w:rsidRDefault="0067687F" w:rsidP="007C57D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67687F" w:rsidRPr="00E05F39" w:rsidRDefault="0067687F" w:rsidP="007C57D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SUMMER</w:t>
            </w:r>
          </w:p>
        </w:tc>
      </w:tr>
      <w:tr w:rsidR="000D0299" w:rsidTr="0067687F">
        <w:tc>
          <w:tcPr>
            <w:tcW w:w="1467" w:type="dxa"/>
          </w:tcPr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1</w:t>
            </w:r>
          </w:p>
        </w:tc>
        <w:tc>
          <w:tcPr>
            <w:tcW w:w="4082" w:type="dxa"/>
          </w:tcPr>
          <w:p w:rsidR="000D0299" w:rsidRPr="009A6737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0C4503" w:rsidRDefault="000D0299" w:rsidP="000D0299">
            <w:pPr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Structures</w:t>
            </w: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Freestanding Structures</w:t>
            </w:r>
          </w:p>
        </w:tc>
        <w:tc>
          <w:tcPr>
            <w:tcW w:w="4322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0C4503" w:rsidRDefault="000D0299" w:rsidP="000D0299">
            <w:pPr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Mechanisms</w:t>
            </w: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Sliders and Levers</w:t>
            </w:r>
          </w:p>
        </w:tc>
        <w:tc>
          <w:tcPr>
            <w:tcW w:w="4077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Cooking</w:t>
            </w:r>
          </w:p>
        </w:tc>
      </w:tr>
      <w:tr w:rsidR="000D0299" w:rsidTr="0067687F">
        <w:tc>
          <w:tcPr>
            <w:tcW w:w="1467" w:type="dxa"/>
          </w:tcPr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2</w:t>
            </w:r>
          </w:p>
        </w:tc>
        <w:tc>
          <w:tcPr>
            <w:tcW w:w="4082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Textiles</w:t>
            </w:r>
          </w:p>
          <w:p w:rsidR="000D0299" w:rsidRPr="009A6737" w:rsidRDefault="000D0299" w:rsidP="000D0299">
            <w:pPr>
              <w:tabs>
                <w:tab w:val="left" w:pos="-709"/>
              </w:tabs>
              <w:rPr>
                <w:rFonts w:cstheme="minorHAnsi"/>
              </w:rPr>
            </w:pPr>
          </w:p>
        </w:tc>
        <w:tc>
          <w:tcPr>
            <w:tcW w:w="4322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Cooking</w:t>
            </w: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</w:p>
        </w:tc>
        <w:tc>
          <w:tcPr>
            <w:tcW w:w="4077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Mechanisms</w:t>
            </w:r>
          </w:p>
        </w:tc>
      </w:tr>
      <w:tr w:rsidR="000D0299" w:rsidTr="0067687F">
        <w:tc>
          <w:tcPr>
            <w:tcW w:w="1467" w:type="dxa"/>
          </w:tcPr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3</w:t>
            </w:r>
          </w:p>
        </w:tc>
        <w:tc>
          <w:tcPr>
            <w:tcW w:w="4082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Textiles</w:t>
            </w:r>
          </w:p>
          <w:p w:rsidR="000D0299" w:rsidRPr="009A6737" w:rsidRDefault="000D0299" w:rsidP="000D0299">
            <w:pPr>
              <w:tabs>
                <w:tab w:val="left" w:pos="-709"/>
              </w:tabs>
              <w:rPr>
                <w:rFonts w:cstheme="minorHAnsi"/>
              </w:rPr>
            </w:pPr>
          </w:p>
        </w:tc>
        <w:tc>
          <w:tcPr>
            <w:tcW w:w="4322" w:type="dxa"/>
          </w:tcPr>
          <w:p w:rsidR="000D0299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Cooking</w:t>
            </w:r>
          </w:p>
        </w:tc>
        <w:tc>
          <w:tcPr>
            <w:tcW w:w="4077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Structures</w:t>
            </w:r>
          </w:p>
        </w:tc>
      </w:tr>
      <w:tr w:rsidR="000D0299" w:rsidTr="0067687F">
        <w:tc>
          <w:tcPr>
            <w:tcW w:w="1467" w:type="dxa"/>
          </w:tcPr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4</w:t>
            </w:r>
          </w:p>
        </w:tc>
        <w:tc>
          <w:tcPr>
            <w:tcW w:w="4082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Cooking</w:t>
            </w:r>
          </w:p>
          <w:p w:rsidR="000D0299" w:rsidRPr="009A6737" w:rsidRDefault="000D0299" w:rsidP="000D0299">
            <w:pPr>
              <w:tabs>
                <w:tab w:val="left" w:pos="-709"/>
              </w:tabs>
              <w:rPr>
                <w:rFonts w:cstheme="minorHAnsi"/>
              </w:rPr>
            </w:pPr>
          </w:p>
        </w:tc>
        <w:tc>
          <w:tcPr>
            <w:tcW w:w="4322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Electrical Systems</w:t>
            </w:r>
          </w:p>
        </w:tc>
        <w:tc>
          <w:tcPr>
            <w:tcW w:w="4077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Mechanical Systems</w:t>
            </w:r>
          </w:p>
        </w:tc>
      </w:tr>
      <w:tr w:rsidR="000D0299" w:rsidTr="0067687F">
        <w:tc>
          <w:tcPr>
            <w:tcW w:w="1467" w:type="dxa"/>
          </w:tcPr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5</w:t>
            </w:r>
          </w:p>
        </w:tc>
        <w:tc>
          <w:tcPr>
            <w:tcW w:w="4082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Building Bridges</w:t>
            </w:r>
          </w:p>
          <w:p w:rsidR="000D0299" w:rsidRPr="009A6737" w:rsidRDefault="000D0299" w:rsidP="000D0299">
            <w:pPr>
              <w:tabs>
                <w:tab w:val="left" w:pos="-709"/>
              </w:tabs>
              <w:rPr>
                <w:rFonts w:cstheme="minorHAnsi"/>
              </w:rPr>
            </w:pPr>
          </w:p>
        </w:tc>
        <w:tc>
          <w:tcPr>
            <w:tcW w:w="4322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Making Biscuits</w:t>
            </w:r>
          </w:p>
        </w:tc>
        <w:tc>
          <w:tcPr>
            <w:tcW w:w="4077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Sculpting</w:t>
            </w:r>
          </w:p>
        </w:tc>
      </w:tr>
      <w:tr w:rsidR="000D0299" w:rsidTr="0067687F">
        <w:tc>
          <w:tcPr>
            <w:tcW w:w="1467" w:type="dxa"/>
          </w:tcPr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</w:p>
          <w:p w:rsidR="000D0299" w:rsidRPr="00E05F39" w:rsidRDefault="000D0299" w:rsidP="000D029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E05F39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Year 6</w:t>
            </w:r>
          </w:p>
        </w:tc>
        <w:tc>
          <w:tcPr>
            <w:tcW w:w="4082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Great British Foods</w:t>
            </w:r>
          </w:p>
          <w:p w:rsidR="000D0299" w:rsidRPr="009A6737" w:rsidRDefault="000D0299" w:rsidP="000D0299">
            <w:pPr>
              <w:tabs>
                <w:tab w:val="left" w:pos="-709"/>
              </w:tabs>
              <w:rPr>
                <w:rFonts w:cstheme="minorHAnsi"/>
              </w:rPr>
            </w:pPr>
          </w:p>
        </w:tc>
        <w:tc>
          <w:tcPr>
            <w:tcW w:w="4322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jc w:val="center"/>
              <w:rPr>
                <w:rFonts w:cstheme="minorHAnsi"/>
                <w:highlight w:val="yellow"/>
              </w:rPr>
            </w:pPr>
            <w:r w:rsidRPr="000C4503">
              <w:rPr>
                <w:rFonts w:cstheme="minorHAnsi"/>
              </w:rPr>
              <w:t>Fairground</w:t>
            </w: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</w:p>
        </w:tc>
        <w:tc>
          <w:tcPr>
            <w:tcW w:w="4077" w:type="dxa"/>
          </w:tcPr>
          <w:p w:rsidR="000D0299" w:rsidRDefault="000D0299" w:rsidP="000D0299">
            <w:pPr>
              <w:jc w:val="center"/>
              <w:rPr>
                <w:rFonts w:cstheme="minorHAnsi"/>
              </w:rPr>
            </w:pPr>
          </w:p>
          <w:p w:rsidR="000D0299" w:rsidRPr="009A6737" w:rsidRDefault="000D0299" w:rsidP="000D0299">
            <w:pPr>
              <w:tabs>
                <w:tab w:val="left" w:pos="-709"/>
              </w:tabs>
              <w:jc w:val="center"/>
              <w:rPr>
                <w:rFonts w:cstheme="minorHAnsi"/>
              </w:rPr>
            </w:pPr>
            <w:r w:rsidRPr="000C4503">
              <w:rPr>
                <w:rFonts w:cstheme="minorHAnsi"/>
              </w:rPr>
              <w:t>Fashion and textiles</w:t>
            </w:r>
          </w:p>
        </w:tc>
      </w:tr>
    </w:tbl>
    <w:p w:rsidR="000C5936" w:rsidRDefault="000C5936"/>
    <w:sectPr w:rsidR="000C5936" w:rsidSect="0067687F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53E92"/>
    <w:multiLevelType w:val="hybridMultilevel"/>
    <w:tmpl w:val="3E940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3618F"/>
    <w:multiLevelType w:val="hybridMultilevel"/>
    <w:tmpl w:val="D0A4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7F"/>
    <w:rsid w:val="000C5936"/>
    <w:rsid w:val="000D0299"/>
    <w:rsid w:val="004B0770"/>
    <w:rsid w:val="004D4630"/>
    <w:rsid w:val="00660806"/>
    <w:rsid w:val="0067687F"/>
    <w:rsid w:val="007C57D3"/>
    <w:rsid w:val="008B10F4"/>
    <w:rsid w:val="009F78D4"/>
    <w:rsid w:val="00A360E9"/>
    <w:rsid w:val="00CE6039"/>
    <w:rsid w:val="00D760F7"/>
    <w:rsid w:val="00DA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CCD6"/>
  <w15:chartTrackingRefBased/>
  <w15:docId w15:val="{D7CF59FF-CE11-4021-A24B-B5277B2C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8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6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60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Hill School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Matharu</dc:creator>
  <cp:keywords/>
  <dc:description/>
  <cp:lastModifiedBy>ST-MATHARU-N</cp:lastModifiedBy>
  <cp:revision>2</cp:revision>
  <dcterms:created xsi:type="dcterms:W3CDTF">2023-04-19T08:10:00Z</dcterms:created>
  <dcterms:modified xsi:type="dcterms:W3CDTF">2023-04-19T08:10:00Z</dcterms:modified>
</cp:coreProperties>
</file>